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EA" w:rsidRPr="00E61BEA" w:rsidRDefault="00E61BEA" w:rsidP="00E61BEA">
      <w:pPr>
        <w:spacing w:after="300" w:line="240" w:lineRule="auto"/>
        <w:jc w:val="center"/>
        <w:textAlignment w:val="baseline"/>
        <w:outlineLvl w:val="3"/>
        <w:rPr>
          <w:rFonts w:ascii="Arial" w:eastAsia="Times New Roman" w:hAnsi="Arial" w:cs="Arial"/>
          <w:b/>
          <w:bCs/>
          <w:color w:val="000000"/>
          <w:sz w:val="35"/>
          <w:szCs w:val="35"/>
        </w:rPr>
      </w:pPr>
      <w:r w:rsidRPr="00E61BEA">
        <w:rPr>
          <w:rFonts w:ascii="Arial" w:eastAsia="Times New Roman" w:hAnsi="Arial" w:cs="Arial"/>
          <w:b/>
          <w:bCs/>
          <w:color w:val="000000"/>
          <w:sz w:val="35"/>
          <w:szCs w:val="35"/>
        </w:rPr>
        <w:t>Chapters 20–22</w:t>
      </w:r>
    </w:p>
    <w:p w:rsidR="00E61BEA" w:rsidRPr="00E61BEA" w:rsidRDefault="00E61BEA" w:rsidP="00E61BEA">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"http://www.sparknotes.com/lit/mocking/section9.rhtml" </w:instrText>
      </w:r>
      <w:r w:rsidRPr="00E61BEA">
        <w:rPr>
          <w:rFonts w:ascii="Arial" w:eastAsia="Times New Roman" w:hAnsi="Arial" w:cs="Arial"/>
          <w:color w:val="000000"/>
          <w:sz w:val="24"/>
          <w:szCs w:val="24"/>
        </w:rPr>
        <w:fldChar w:fldCharType="separate"/>
      </w:r>
    </w:p>
    <w:p w:rsidR="00E61BEA" w:rsidRPr="00E61BEA" w:rsidRDefault="00E61BEA" w:rsidP="00E61BEA">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E61BEA">
        <w:rPr>
          <w:rFonts w:ascii="Arial" w:eastAsia="Times New Roman" w:hAnsi="Arial" w:cs="Arial"/>
          <w:color w:val="007CB3"/>
          <w:sz w:val="24"/>
          <w:szCs w:val="24"/>
        </w:rPr>
        <w:t> &lt;&lt; </w:t>
      </w:r>
    </w:p>
    <w:p w:rsidR="00E61BEA" w:rsidRPr="00E61BEA" w:rsidRDefault="00E61BEA" w:rsidP="00E61BEA">
      <w:pPr>
        <w:shd w:val="clear" w:color="auto" w:fill="EFF7FB"/>
        <w:spacing w:after="0" w:line="240" w:lineRule="auto"/>
        <w:jc w:val="center"/>
        <w:textAlignment w:val="baseline"/>
        <w:rPr>
          <w:rFonts w:ascii="Arial" w:eastAsia="Times New Roman" w:hAnsi="Arial" w:cs="Arial"/>
          <w:color w:val="000000"/>
          <w:sz w:val="24"/>
          <w:szCs w:val="24"/>
        </w:rPr>
      </w:pPr>
      <w:r w:rsidRPr="00E61BEA">
        <w:rPr>
          <w:rFonts w:ascii="Arial" w:eastAsia="Times New Roman" w:hAnsi="Arial" w:cs="Arial"/>
          <w:color w:val="000000"/>
          <w:sz w:val="24"/>
          <w:szCs w:val="24"/>
        </w:rPr>
        <w:fldChar w:fldCharType="end"/>
      </w:r>
    </w:p>
    <w:p w:rsidR="00E61BEA" w:rsidRPr="00E61BEA" w:rsidRDefault="00E61BEA" w:rsidP="00E61BEA">
      <w:pPr>
        <w:spacing w:after="0" w:line="240" w:lineRule="auto"/>
        <w:jc w:val="center"/>
        <w:textAlignment w:val="baseline"/>
        <w:rPr>
          <w:rFonts w:ascii="Times New Roman" w:eastAsia="Times New Roman" w:hAnsi="Times New Roman" w:cs="Times New Roman"/>
          <w:color w:val="007CB3"/>
          <w:sz w:val="24"/>
          <w:szCs w:val="24"/>
          <w:u w:val="single"/>
        </w:rPr>
      </w:pP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"http://www.sparknotes.com/lit/mocking/section10.rhtml" </w:instrText>
      </w:r>
      <w:r w:rsidRPr="00E61BEA">
        <w:rPr>
          <w:rFonts w:ascii="Arial" w:eastAsia="Times New Roman" w:hAnsi="Arial" w:cs="Arial"/>
          <w:color w:val="000000"/>
          <w:sz w:val="24"/>
          <w:szCs w:val="24"/>
        </w:rPr>
        <w:fldChar w:fldCharType="separate"/>
      </w:r>
    </w:p>
    <w:p w:rsidR="00E61BEA" w:rsidRPr="00E61BEA" w:rsidRDefault="00E61BEA" w:rsidP="00E61BEA">
      <w:pPr>
        <w:spacing w:after="0" w:line="240" w:lineRule="auto"/>
        <w:jc w:val="center"/>
        <w:textAlignment w:val="baseline"/>
        <w:rPr>
          <w:rFonts w:ascii="Arial" w:eastAsia="Times New Roman" w:hAnsi="Arial" w:cs="Arial"/>
          <w:color w:val="007CB3"/>
          <w:sz w:val="24"/>
          <w:szCs w:val="24"/>
          <w:u w:val="single"/>
        </w:rPr>
      </w:pPr>
      <w:r w:rsidRPr="00E61BEA">
        <w:rPr>
          <w:rFonts w:ascii="Arial" w:eastAsia="Times New Roman" w:hAnsi="Arial" w:cs="Arial"/>
          <w:color w:val="000000"/>
          <w:sz w:val="24"/>
          <w:szCs w:val="24"/>
        </w:rPr>
        <w:fldChar w:fldCharType="end"/>
      </w:r>
      <w:r w:rsidRPr="00E61BEA">
        <w:rPr>
          <w:rFonts w:ascii="Arial" w:eastAsia="Times New Roman" w:hAnsi="Arial" w:cs="Arial"/>
          <w:color w:val="000000"/>
          <w:sz w:val="24"/>
          <w:szCs w:val="24"/>
          <w:bdr w:val="none" w:sz="0" w:space="0" w:color="auto" w:frame="1"/>
        </w:rPr>
        <w:t> Page 1 </w:t>
      </w: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"http://www.sparknotes.com/lit/mocking/section10/page/2/" </w:instrText>
      </w:r>
      <w:r w:rsidRPr="00E61BEA">
        <w:rPr>
          <w:rFonts w:ascii="Arial" w:eastAsia="Times New Roman" w:hAnsi="Arial" w:cs="Arial"/>
          <w:color w:val="000000"/>
          <w:sz w:val="24"/>
          <w:szCs w:val="24"/>
        </w:rPr>
        <w:fldChar w:fldCharType="separate"/>
      </w:r>
    </w:p>
    <w:p w:rsidR="00E61BEA" w:rsidRPr="00E61BEA" w:rsidRDefault="00E61BEA" w:rsidP="00E61BEA">
      <w:pPr>
        <w:spacing w:after="0" w:line="240" w:lineRule="auto"/>
        <w:ind w:hanging="18913"/>
        <w:jc w:val="center"/>
        <w:textAlignment w:val="baseline"/>
        <w:rPr>
          <w:rFonts w:ascii="Times New Roman" w:eastAsia="Times New Roman" w:hAnsi="Times New Roman" w:cs="Times New Roman"/>
          <w:sz w:val="24"/>
          <w:szCs w:val="24"/>
        </w:rPr>
      </w:pPr>
      <w:r w:rsidRPr="00E61BEA">
        <w:rPr>
          <w:rFonts w:ascii="Arial" w:eastAsia="Times New Roman" w:hAnsi="Arial" w:cs="Arial"/>
          <w:color w:val="007CB3"/>
          <w:sz w:val="24"/>
          <w:szCs w:val="24"/>
          <w:u w:val="single"/>
        </w:rPr>
        <w:t> &gt; </w:t>
      </w:r>
    </w:p>
    <w:p w:rsidR="00E61BEA" w:rsidRPr="00E61BEA" w:rsidRDefault="00E61BEA" w:rsidP="00E61BEA">
      <w:pPr>
        <w:spacing w:after="0" w:line="240" w:lineRule="auto"/>
        <w:jc w:val="center"/>
        <w:textAlignment w:val="baseline"/>
        <w:rPr>
          <w:rFonts w:ascii="Arial" w:eastAsia="Times New Roman" w:hAnsi="Arial" w:cs="Arial"/>
          <w:color w:val="000000"/>
          <w:sz w:val="24"/>
          <w:szCs w:val="24"/>
        </w:rPr>
      </w:pPr>
      <w:r w:rsidRPr="00E61BEA">
        <w:rPr>
          <w:rFonts w:ascii="Arial" w:eastAsia="Times New Roman" w:hAnsi="Arial" w:cs="Arial"/>
          <w:color w:val="000000"/>
          <w:sz w:val="24"/>
          <w:szCs w:val="24"/>
        </w:rPr>
        <w:fldChar w:fldCharType="end"/>
      </w:r>
    </w:p>
    <w:p w:rsidR="00E61BEA" w:rsidRPr="00E61BEA" w:rsidRDefault="00E61BEA" w:rsidP="00E61BEA">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E61BEA">
        <w:rPr>
          <w:rFonts w:ascii="Arial" w:eastAsia="Times New Roman" w:hAnsi="Arial" w:cs="Arial"/>
          <w:color w:val="000000"/>
          <w:sz w:val="24"/>
          <w:szCs w:val="24"/>
        </w:rPr>
        <w:fldChar w:fldCharType="begin"/>
      </w:r>
      <w:r w:rsidRPr="00E61BEA">
        <w:rPr>
          <w:rFonts w:ascii="Arial" w:eastAsia="Times New Roman" w:hAnsi="Arial" w:cs="Arial"/>
          <w:color w:val="000000"/>
          <w:sz w:val="24"/>
          <w:szCs w:val="24"/>
        </w:rPr>
        <w:instrText xml:space="preserve"> HYPERLINK "http://www.sparknotes.com/lit/mocking/section11.rhtml" </w:instrText>
      </w:r>
      <w:r w:rsidRPr="00E61BEA">
        <w:rPr>
          <w:rFonts w:ascii="Arial" w:eastAsia="Times New Roman" w:hAnsi="Arial" w:cs="Arial"/>
          <w:color w:val="000000"/>
          <w:sz w:val="24"/>
          <w:szCs w:val="24"/>
        </w:rPr>
        <w:fldChar w:fldCharType="separate"/>
      </w:r>
    </w:p>
    <w:p w:rsidR="00E61BEA" w:rsidRPr="00E61BEA" w:rsidRDefault="00E61BEA" w:rsidP="00E61BEA">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E61BEA">
        <w:rPr>
          <w:rFonts w:ascii="Arial" w:eastAsia="Times New Roman" w:hAnsi="Arial" w:cs="Arial"/>
          <w:color w:val="007CB3"/>
          <w:sz w:val="24"/>
          <w:szCs w:val="24"/>
        </w:rPr>
        <w:t> &gt;&gt; </w:t>
      </w:r>
    </w:p>
    <w:p w:rsidR="00E61BEA" w:rsidRPr="00E61BEA" w:rsidRDefault="00E61BEA" w:rsidP="00E61BEA">
      <w:pPr>
        <w:shd w:val="clear" w:color="auto" w:fill="EFF7FB"/>
        <w:spacing w:line="240" w:lineRule="auto"/>
        <w:jc w:val="center"/>
        <w:textAlignment w:val="baseline"/>
        <w:rPr>
          <w:rFonts w:ascii="Arial" w:eastAsia="Times New Roman" w:hAnsi="Arial" w:cs="Arial"/>
          <w:color w:val="000000"/>
          <w:sz w:val="24"/>
          <w:szCs w:val="24"/>
        </w:rPr>
      </w:pPr>
      <w:r w:rsidRPr="00E61BEA">
        <w:rPr>
          <w:rFonts w:ascii="Arial" w:eastAsia="Times New Roman" w:hAnsi="Arial" w:cs="Arial"/>
          <w:color w:val="000000"/>
          <w:sz w:val="24"/>
          <w:szCs w:val="24"/>
        </w:rPr>
        <w:fldChar w:fldCharType="end"/>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t>Summary: Chapter 20</w:t>
      </w:r>
    </w:p>
    <w:p w:rsidR="00E61BEA" w:rsidRPr="00E61BEA" w:rsidRDefault="00E61BEA" w:rsidP="00E61BEA">
      <w:pPr>
        <w:spacing w:after="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 xml:space="preserve">Mr. </w:t>
      </w:r>
      <w:proofErr w:type="spellStart"/>
      <w:r w:rsidRPr="00E61BEA">
        <w:rPr>
          <w:rFonts w:ascii="Arial" w:eastAsia="Times New Roman" w:hAnsi="Arial" w:cs="Arial"/>
          <w:color w:val="000000"/>
          <w:sz w:val="27"/>
          <w:szCs w:val="27"/>
        </w:rPr>
        <w:t>Dolphus</w:t>
      </w:r>
      <w:proofErr w:type="spellEnd"/>
      <w:r w:rsidRPr="00E61BEA">
        <w:rPr>
          <w:rFonts w:ascii="Arial" w:eastAsia="Times New Roman" w:hAnsi="Arial" w:cs="Arial"/>
          <w:color w:val="000000"/>
          <w:sz w:val="27"/>
          <w:szCs w:val="27"/>
        </w:rPr>
        <w:t xml:space="preserve"> Raymond reveals that he is drinking from a paper sack. He commiserates with Dill and offers him a drink in a paper bag. Dill slurps up some of the liquid and </w:t>
      </w:r>
      <w:hyperlink r:id="rId4" w:history="1">
        <w:r w:rsidRPr="00E61BEA">
          <w:rPr>
            <w:rFonts w:ascii="Arial" w:eastAsia="Times New Roman" w:hAnsi="Arial" w:cs="Arial"/>
            <w:color w:val="007CB3"/>
            <w:sz w:val="27"/>
            <w:szCs w:val="27"/>
            <w:u w:val="single"/>
          </w:rPr>
          <w:t>Scout</w:t>
        </w:r>
      </w:hyperlink>
      <w:r w:rsidRPr="00E61BEA">
        <w:rPr>
          <w:rFonts w:ascii="Arial" w:eastAsia="Times New Roman" w:hAnsi="Arial" w:cs="Arial"/>
          <w:color w:val="000000"/>
          <w:sz w:val="27"/>
          <w:szCs w:val="27"/>
        </w:rPr>
        <w:t> warns him not to take much, but Dill reveals to her that the drink isn’t alcoholic—it’s only Coca-Cola. Mr. Raymond tells the children that he pretends to be a drunk to provide the other white people with an explanation for his lifestyle, when, in fact, he simply prefers black people to whites.</w:t>
      </w:r>
    </w:p>
    <w:p w:rsidR="00E61BEA" w:rsidRPr="00E61BEA" w:rsidRDefault="00E61BEA" w:rsidP="00E61BEA">
      <w:pPr>
        <w:spacing w:after="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When Dill and Scout return to the courtroom, </w:t>
      </w:r>
      <w:hyperlink r:id="rId5" w:history="1">
        <w:r w:rsidRPr="00E61BEA">
          <w:rPr>
            <w:rFonts w:ascii="Arial" w:eastAsia="Times New Roman" w:hAnsi="Arial" w:cs="Arial"/>
            <w:color w:val="007CB3"/>
            <w:sz w:val="27"/>
            <w:szCs w:val="27"/>
            <w:u w:val="single"/>
          </w:rPr>
          <w:t>Atticus</w:t>
        </w:r>
      </w:hyperlink>
      <w:r w:rsidRPr="00E61BEA">
        <w:rPr>
          <w:rFonts w:ascii="Arial" w:eastAsia="Times New Roman" w:hAnsi="Arial" w:cs="Arial"/>
          <w:color w:val="000000"/>
          <w:sz w:val="27"/>
          <w:szCs w:val="27"/>
        </w:rPr>
        <w:t xml:space="preserve"> is making his closing remarks. He has finished going over the evidence and now makes a personal appeal to the jury. He points out that the prosecution has produced no medical evidence of the crime and has presented only the shaky testimony of two unreliable witnesses; moreover, the physical evidence suggests that Bob </w:t>
      </w:r>
      <w:proofErr w:type="spellStart"/>
      <w:r w:rsidRPr="00E61BEA">
        <w:rPr>
          <w:rFonts w:ascii="Arial" w:eastAsia="Times New Roman" w:hAnsi="Arial" w:cs="Arial"/>
          <w:color w:val="000000"/>
          <w:sz w:val="27"/>
          <w:szCs w:val="27"/>
        </w:rPr>
        <w:t>Ewell</w:t>
      </w:r>
      <w:proofErr w:type="spellEnd"/>
      <w:r w:rsidRPr="00E61BEA">
        <w:rPr>
          <w:rFonts w:ascii="Arial" w:eastAsia="Times New Roman" w:hAnsi="Arial" w:cs="Arial"/>
          <w:color w:val="000000"/>
          <w:sz w:val="27"/>
          <w:szCs w:val="27"/>
        </w:rPr>
        <w:t xml:space="preserve">, not Tom Robinson, beat </w:t>
      </w:r>
      <w:proofErr w:type="spellStart"/>
      <w:r w:rsidRPr="00E61BEA">
        <w:rPr>
          <w:rFonts w:ascii="Arial" w:eastAsia="Times New Roman" w:hAnsi="Arial" w:cs="Arial"/>
          <w:color w:val="000000"/>
          <w:sz w:val="27"/>
          <w:szCs w:val="27"/>
        </w:rPr>
        <w:t>Mayella</w:t>
      </w:r>
      <w:proofErr w:type="spellEnd"/>
      <w:r w:rsidRPr="00E61BEA">
        <w:rPr>
          <w:rFonts w:ascii="Arial" w:eastAsia="Times New Roman" w:hAnsi="Arial" w:cs="Arial"/>
          <w:color w:val="000000"/>
          <w:sz w:val="27"/>
          <w:szCs w:val="27"/>
        </w:rPr>
        <w:t xml:space="preserve">. He then offers his own version of events, describing how </w:t>
      </w:r>
      <w:proofErr w:type="spellStart"/>
      <w:r w:rsidRPr="00E61BEA">
        <w:rPr>
          <w:rFonts w:ascii="Arial" w:eastAsia="Times New Roman" w:hAnsi="Arial" w:cs="Arial"/>
          <w:color w:val="000000"/>
          <w:sz w:val="27"/>
          <w:szCs w:val="27"/>
        </w:rPr>
        <w:t>Mayella</w:t>
      </w:r>
      <w:proofErr w:type="spellEnd"/>
      <w:r w:rsidRPr="00E61BEA">
        <w:rPr>
          <w:rFonts w:ascii="Arial" w:eastAsia="Times New Roman" w:hAnsi="Arial" w:cs="Arial"/>
          <w:color w:val="000000"/>
          <w:sz w:val="27"/>
          <w:szCs w:val="27"/>
        </w:rPr>
        <w:t>, lonely and unhappy, committed the unmentionable act of lusting after a black man and then concealed her shame by accusing him of rape after being caught. Atticus begs the jury to avoid the state’s assumption that all black people are criminals and to deliver justice by freeing Tom Robinson. As soon as Atticus finishes, Calpurnia comes into the courtroom.</w:t>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t>Summary: Chapter 21</w:t>
      </w:r>
    </w:p>
    <w:p w:rsidR="00E61BEA" w:rsidRPr="00E61BEA" w:rsidRDefault="00E61BEA" w:rsidP="00E61BEA">
      <w:pPr>
        <w:spacing w:after="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lastRenderedPageBreak/>
        <w:t>Calpurnia hands Atticus a note telling him that his children have not been home since noon. Mr. Underwood says that </w:t>
      </w:r>
      <w:hyperlink r:id="rId6" w:history="1">
        <w:r w:rsidRPr="00E61BEA">
          <w:rPr>
            <w:rFonts w:ascii="Arial" w:eastAsia="Times New Roman" w:hAnsi="Arial" w:cs="Arial"/>
            <w:color w:val="007CB3"/>
            <w:sz w:val="27"/>
            <w:szCs w:val="27"/>
            <w:u w:val="single"/>
          </w:rPr>
          <w:t>Jem</w:t>
        </w:r>
      </w:hyperlink>
      <w:r w:rsidRPr="00E61BEA">
        <w:rPr>
          <w:rFonts w:ascii="Arial" w:eastAsia="Times New Roman" w:hAnsi="Arial" w:cs="Arial"/>
          <w:color w:val="000000"/>
          <w:sz w:val="27"/>
          <w:szCs w:val="27"/>
        </w:rPr>
        <w:t> and Scout are in the colored balcony and have been there since just after one in the afternoon. Atticus tells them to go home and have supper. They beg to be allowed to hear the verdict; Atticus says that they can return after supper, though he knows that the jury will likely have returned before then.</w:t>
      </w:r>
    </w:p>
    <w:p w:rsidR="00E61BEA" w:rsidRPr="00E61BEA" w:rsidRDefault="00E61BEA" w:rsidP="00E61BEA">
      <w:pPr>
        <w:spacing w:after="30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Calpurnia marches Jem, Scout, and Dill home. They eat quickly and return to find the jury still out, the courtroom still full. Evening comes, night falls, and the jury continues to deliberate. Jem is confident of victory, while Dill has fallen asleep. Finally, after eleven that night, the jury enters. Scout remembers that a jury never looks at a man it has convicted, and she notices that the twelve men do not look at Tom Robinson as they file in and deliver a guilty verdict. The courtroom begins to empty, and as Atticus goes out, everyone in the colored balcony rises in a gesture of respect.</w:t>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t>Summary: Chapter 22</w:t>
      </w:r>
    </w:p>
    <w:p w:rsidR="00E61BEA" w:rsidRPr="00E61BEA" w:rsidRDefault="00E61BEA" w:rsidP="00E61BEA">
      <w:pPr>
        <w:spacing w:after="30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 xml:space="preserve">That night, Jem cries, railing against the injustice of the verdict. The next day, Maycomb’s black population delivers an avalanche of food to the Finch household. Outside, Miss Stephanie Crawford is gossiping with Mr. Avery and Miss Maudie, and she tries to question Jem and Scout about the trial. Miss Maudie rescues the children by inviting them in for some cake. Jem complains that his illusions about Maycomb have been shattered: he thought that these people were the best in the world, but, having seen the trial, he doesn’t think so anymore. Miss Maudie points out that there were people who tried to help, like Judge Taylor, who appointed Atticus to the case instead of the regular public defender. She adds that the jury’s staying out so long constitutes a sign of progress in race relations. As the children leave Miss Maudie’s house, Miss Stephanie runs over to tell them that Bob </w:t>
      </w:r>
      <w:proofErr w:type="spellStart"/>
      <w:r w:rsidRPr="00E61BEA">
        <w:rPr>
          <w:rFonts w:ascii="Arial" w:eastAsia="Times New Roman" w:hAnsi="Arial" w:cs="Arial"/>
          <w:color w:val="000000"/>
          <w:sz w:val="27"/>
          <w:szCs w:val="27"/>
        </w:rPr>
        <w:t>Ewell</w:t>
      </w:r>
      <w:proofErr w:type="spellEnd"/>
      <w:r w:rsidRPr="00E61BEA">
        <w:rPr>
          <w:rFonts w:ascii="Arial" w:eastAsia="Times New Roman" w:hAnsi="Arial" w:cs="Arial"/>
          <w:color w:val="000000"/>
          <w:sz w:val="27"/>
          <w:szCs w:val="27"/>
        </w:rPr>
        <w:t xml:space="preserve"> accosted their father that morning, spat on him, and swore revenge.</w:t>
      </w:r>
    </w:p>
    <w:p w:rsidR="00E61BEA" w:rsidRPr="00E61BEA" w:rsidRDefault="00E61BEA" w:rsidP="00E61BEA">
      <w:pPr>
        <w:spacing w:after="300" w:line="420" w:lineRule="atLeast"/>
        <w:textAlignment w:val="baseline"/>
        <w:outlineLvl w:val="3"/>
        <w:rPr>
          <w:rFonts w:ascii="Arial" w:eastAsia="Times New Roman" w:hAnsi="Arial" w:cs="Arial"/>
          <w:b/>
          <w:bCs/>
          <w:color w:val="000000"/>
          <w:sz w:val="27"/>
          <w:szCs w:val="27"/>
        </w:rPr>
      </w:pPr>
      <w:r w:rsidRPr="00E61BEA">
        <w:rPr>
          <w:rFonts w:ascii="Arial" w:eastAsia="Times New Roman" w:hAnsi="Arial" w:cs="Arial"/>
          <w:b/>
          <w:bCs/>
          <w:color w:val="000000"/>
          <w:sz w:val="27"/>
          <w:szCs w:val="27"/>
        </w:rPr>
        <w:lastRenderedPageBreak/>
        <w:t>Analysis: Chapters 20–22</w:t>
      </w:r>
    </w:p>
    <w:p w:rsidR="00E61BEA" w:rsidRPr="00E61BEA" w:rsidRDefault="00E61BEA" w:rsidP="00E61BEA">
      <w:pPr>
        <w:spacing w:after="300" w:line="420" w:lineRule="atLeast"/>
        <w:textAlignment w:val="baseline"/>
        <w:rPr>
          <w:rFonts w:ascii="Arial" w:eastAsia="Times New Roman" w:hAnsi="Arial" w:cs="Arial"/>
          <w:color w:val="000000"/>
          <w:sz w:val="27"/>
          <w:szCs w:val="27"/>
        </w:rPr>
      </w:pPr>
      <w:r w:rsidRPr="00E61BEA">
        <w:rPr>
          <w:rFonts w:ascii="Arial" w:eastAsia="Times New Roman" w:hAnsi="Arial" w:cs="Arial"/>
          <w:color w:val="000000"/>
          <w:sz w:val="27"/>
          <w:szCs w:val="27"/>
        </w:rPr>
        <w:t xml:space="preserve">It is easy to criticize Mr. </w:t>
      </w:r>
      <w:proofErr w:type="spellStart"/>
      <w:r w:rsidRPr="00E61BEA">
        <w:rPr>
          <w:rFonts w:ascii="Arial" w:eastAsia="Times New Roman" w:hAnsi="Arial" w:cs="Arial"/>
          <w:color w:val="000000"/>
          <w:sz w:val="27"/>
          <w:szCs w:val="27"/>
        </w:rPr>
        <w:t>Dolphus</w:t>
      </w:r>
      <w:proofErr w:type="spellEnd"/>
      <w:r w:rsidRPr="00E61BEA">
        <w:rPr>
          <w:rFonts w:ascii="Arial" w:eastAsia="Times New Roman" w:hAnsi="Arial" w:cs="Arial"/>
          <w:color w:val="000000"/>
          <w:sz w:val="27"/>
          <w:szCs w:val="27"/>
        </w:rPr>
        <w:t xml:space="preserve"> Raymond as an unreal, saccharinely nonracist character. Indeed, in a temporal and geographical setting in which the white community as a whole has so little sympathy for blacks, Raymond is not only anomalous but also somewhat preposterous—it seems that even the righteous and morally upstanding Atticus might view Raymond as having breached accepted notions of social propriety. The importance of Raymond’s character, however, lies in the nature of his preference for blacks. Raymond never explains precisely why he prefers blacks—he just does; similarly, the white community never explains why it hates blacks—it just does. The difference between these two ingrained attitudes, however, is that whereas the white community imposes its preferences unapologetically on the whole of Maycomb, Raymond acts on his preferences solely because he wants to live that way, not because he wants to dictate how others should live.</w:t>
      </w:r>
    </w:p>
    <w:p w:rsidR="00D277AA" w:rsidRDefault="00D277AA">
      <w:bookmarkStart w:id="0" w:name="_GoBack"/>
      <w:bookmarkEnd w:id="0"/>
    </w:p>
    <w:sectPr w:rsidR="00D2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EA"/>
    <w:rsid w:val="00D277AA"/>
    <w:rsid w:val="00E6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DDA8-5319-48DC-BDC2-DC199180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4981">
      <w:bodyDiv w:val="1"/>
      <w:marLeft w:val="0"/>
      <w:marRight w:val="0"/>
      <w:marTop w:val="0"/>
      <w:marBottom w:val="0"/>
      <w:divBdr>
        <w:top w:val="none" w:sz="0" w:space="0" w:color="auto"/>
        <w:left w:val="none" w:sz="0" w:space="0" w:color="auto"/>
        <w:bottom w:val="none" w:sz="0" w:space="0" w:color="auto"/>
        <w:right w:val="none" w:sz="0" w:space="0" w:color="auto"/>
      </w:divBdr>
      <w:divsChild>
        <w:div w:id="1095982814">
          <w:marLeft w:val="0"/>
          <w:marRight w:val="0"/>
          <w:marTop w:val="0"/>
          <w:marBottom w:val="0"/>
          <w:divBdr>
            <w:top w:val="none" w:sz="0" w:space="0" w:color="auto"/>
            <w:left w:val="none" w:sz="0" w:space="0" w:color="auto"/>
            <w:bottom w:val="none" w:sz="0" w:space="0" w:color="auto"/>
            <w:right w:val="none" w:sz="0" w:space="0" w:color="auto"/>
          </w:divBdr>
          <w:divsChild>
            <w:div w:id="2032947731">
              <w:marLeft w:val="0"/>
              <w:marRight w:val="0"/>
              <w:marTop w:val="0"/>
              <w:marBottom w:val="300"/>
              <w:divBdr>
                <w:top w:val="none" w:sz="0" w:space="0" w:color="auto"/>
                <w:left w:val="none" w:sz="0" w:space="0" w:color="auto"/>
                <w:bottom w:val="none" w:sz="0" w:space="0" w:color="auto"/>
                <w:right w:val="none" w:sz="0" w:space="0" w:color="auto"/>
              </w:divBdr>
              <w:divsChild>
                <w:div w:id="1965308888">
                  <w:marLeft w:val="0"/>
                  <w:marRight w:val="0"/>
                  <w:marTop w:val="0"/>
                  <w:marBottom w:val="0"/>
                  <w:divBdr>
                    <w:top w:val="none" w:sz="0" w:space="0" w:color="auto"/>
                    <w:left w:val="none" w:sz="0" w:space="0" w:color="auto"/>
                    <w:bottom w:val="none" w:sz="0" w:space="0" w:color="auto"/>
                    <w:right w:val="none" w:sz="0" w:space="0" w:color="auto"/>
                  </w:divBdr>
                  <w:divsChild>
                    <w:div w:id="642779353">
                      <w:marLeft w:val="0"/>
                      <w:marRight w:val="0"/>
                      <w:marTop w:val="135"/>
                      <w:marBottom w:val="0"/>
                      <w:divBdr>
                        <w:top w:val="none" w:sz="0" w:space="0" w:color="auto"/>
                        <w:left w:val="none" w:sz="0" w:space="0" w:color="auto"/>
                        <w:bottom w:val="none" w:sz="0" w:space="0" w:color="auto"/>
                        <w:right w:val="none" w:sz="0" w:space="0" w:color="auto"/>
                      </w:divBdr>
                    </w:div>
                  </w:divsChild>
                </w:div>
                <w:div w:id="1291474332">
                  <w:marLeft w:val="0"/>
                  <w:marRight w:val="0"/>
                  <w:marTop w:val="0"/>
                  <w:marBottom w:val="0"/>
                  <w:divBdr>
                    <w:top w:val="none" w:sz="0" w:space="0" w:color="auto"/>
                    <w:left w:val="none" w:sz="0" w:space="0" w:color="auto"/>
                    <w:bottom w:val="none" w:sz="0" w:space="0" w:color="auto"/>
                    <w:right w:val="none" w:sz="0" w:space="0" w:color="auto"/>
                  </w:divBdr>
                  <w:divsChild>
                    <w:div w:id="1268780512">
                      <w:marLeft w:val="0"/>
                      <w:marRight w:val="0"/>
                      <w:marTop w:val="120"/>
                      <w:marBottom w:val="0"/>
                      <w:divBdr>
                        <w:top w:val="none" w:sz="0" w:space="0" w:color="auto"/>
                        <w:left w:val="none" w:sz="0" w:space="0" w:color="auto"/>
                        <w:bottom w:val="none" w:sz="0" w:space="0" w:color="auto"/>
                        <w:right w:val="none" w:sz="0" w:space="0" w:color="auto"/>
                      </w:divBdr>
                    </w:div>
                  </w:divsChild>
                </w:div>
                <w:div w:id="1075319442">
                  <w:marLeft w:val="0"/>
                  <w:marRight w:val="0"/>
                  <w:marTop w:val="0"/>
                  <w:marBottom w:val="0"/>
                  <w:divBdr>
                    <w:top w:val="none" w:sz="0" w:space="0" w:color="auto"/>
                    <w:left w:val="none" w:sz="0" w:space="0" w:color="auto"/>
                    <w:bottom w:val="none" w:sz="0" w:space="0" w:color="auto"/>
                    <w:right w:val="none" w:sz="0" w:space="0" w:color="auto"/>
                  </w:divBdr>
                  <w:divsChild>
                    <w:div w:id="142850264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9429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jem-finch/" TargetMode="External"/><Relationship Id="rId5" Type="http://schemas.openxmlformats.org/officeDocument/2006/relationships/hyperlink" Target="http://www.sparknotes.com/lit/mocking/character/atticus-finch/" TargetMode="External"/><Relationship Id="rId4" Type="http://schemas.openxmlformats.org/officeDocument/2006/relationships/hyperlink" Target="http://www.sparknotes.com/lit/mocking/character/scout-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2017-11-28T12:26:00Z</dcterms:created>
  <dcterms:modified xsi:type="dcterms:W3CDTF">2017-11-28T12:26:00Z</dcterms:modified>
</cp:coreProperties>
</file>